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8A6E2" w14:textId="5FD19CCB" w:rsidR="00AF2A24" w:rsidRPr="00587CE3" w:rsidRDefault="00AF2A24" w:rsidP="00AF2A24">
      <w:pPr>
        <w:pStyle w:val="Head"/>
      </w:pPr>
      <w:r>
        <w:t xml:space="preserve">MOBIREX MR 130i EVO2 convince nel riciclaggio di materiali edili </w:t>
      </w:r>
    </w:p>
    <w:p w14:paraId="09F731C7" w14:textId="77777777" w:rsidR="00AF2A24" w:rsidRPr="00587CE3" w:rsidRDefault="00AF2A24" w:rsidP="00AF2A24">
      <w:pPr>
        <w:pStyle w:val="Subhead"/>
      </w:pPr>
      <w:r>
        <w:t>Il frantoio ad urto mobile in combinazione con un nastro trasportatore su cingoli assicura prestazioni più elevate, una migliore qualità del prodotto e minori consumi</w:t>
      </w:r>
    </w:p>
    <w:p w14:paraId="6B3D5491" w14:textId="092A3303" w:rsidR="00AF2A24" w:rsidRPr="00FC4300" w:rsidRDefault="00AF2A24" w:rsidP="00AF2A24">
      <w:pPr>
        <w:pStyle w:val="Teaser"/>
      </w:pPr>
      <w:r>
        <w:t xml:space="preserve">Il frantoio ad urto MOBIREX MR 130i EVO2 di Kleemann - con il nastro trasportatore su cingoli MOBIBELT MBT 24 collegato a valle - è attualmente utilizzato per il trattamento di materiali edili a Staufenberg (Bassa Sassonia, Germania). Dopo tre mesi di lavoro, l'azienda di riciclaggio ne fornisce una valutazione molto positiva. </w:t>
      </w:r>
    </w:p>
    <w:p w14:paraId="2AE21E23" w14:textId="77777777" w:rsidR="00AF2A24" w:rsidRPr="00793E43" w:rsidRDefault="00AF2A24" w:rsidP="00AF2A24">
      <w:pPr>
        <w:pStyle w:val="Absatzberschrift"/>
      </w:pPr>
      <w:r>
        <w:t>Una nuova squadra per il riciclaggio</w:t>
      </w:r>
    </w:p>
    <w:p w14:paraId="3FAAE813" w14:textId="77777777" w:rsidR="00AF2A24" w:rsidRPr="00545B82" w:rsidRDefault="00AF2A24" w:rsidP="00AF2A24">
      <w:pPr>
        <w:pStyle w:val="Standardabsatz"/>
      </w:pPr>
      <w:r>
        <w:t>Il duo Kleemann - composto da frantoio ad urto e impianto di vagliatura - viene utilizzato per il trattamento di materiali edili minerali, sabbia, ghiaia, pietrisco e materiale antigelo. Entrambe le macchine hanno superato brillantemente la prova sul campo: la prevagliatura e l'unità di vagliatura secondaria a valle aumentano la qualità e riducono l'usura. Il consumo di carburante è basso, ma la resa giornaliera è aumentata. E il sistema di comando SPECTIVE semplifica notevolmente l'uso di questa macchina.</w:t>
      </w:r>
    </w:p>
    <w:p w14:paraId="1A96060F" w14:textId="77777777" w:rsidR="00AF2A24" w:rsidRPr="00793E43" w:rsidRDefault="00AF2A24" w:rsidP="00AF2A24">
      <w:pPr>
        <w:pStyle w:val="Absatzberschrift"/>
      </w:pPr>
      <w:r>
        <w:t xml:space="preserve">Vagliatura efficacie: poca usura, qualità migliore </w:t>
      </w:r>
    </w:p>
    <w:p w14:paraId="0873292C" w14:textId="77777777" w:rsidR="00AF2A24" w:rsidRDefault="00AF2A24" w:rsidP="00AF2A24">
      <w:pPr>
        <w:pStyle w:val="Standardabsatz"/>
      </w:pPr>
      <w:r>
        <w:t xml:space="preserve">I vantaggi del frantoio ad urto sono il prevaglio e l'unità di vagliatura secondaria. L'impianto ha un prevaglio a oscillazione indipendente. L'efficienza di questa prevagliatura influisce positivamente sulla qualità del prodotto finale. La parte fine, ad esempio, viene trasportata fuori dall'impianto dal nastro di scarico laterale, mentre la frazione media viene convogliata oltre il bypass del frantoio. Ciò riduce notevolmente l'usura nel vano di frantumazione. </w:t>
      </w:r>
    </w:p>
    <w:p w14:paraId="44FF278B" w14:textId="52BDF4E4" w:rsidR="00AF2A24" w:rsidRPr="00827719" w:rsidRDefault="00AF2A24" w:rsidP="00AF2A24">
      <w:pPr>
        <w:pStyle w:val="Standardabsatz"/>
      </w:pPr>
      <w:r>
        <w:t xml:space="preserve">All'altra estremità del MOBIREX MR 130i EVO2 c'è un vaglio vibrante a un piano, con una grande superficie di vagliatura. Separa efficacemente anche pezzature inferiori ai 20 mm. Il circuito del materiale si chiude con l'aiuto del nastro di ricircolo del sopravaglio. Un separatore a vento separa con un flusso d'aria mirato le impurità leggere, come legno o plastica, aumentando così la qualità del prodotto finale. </w:t>
      </w:r>
    </w:p>
    <w:p w14:paraId="0B9CDFEF" w14:textId="77777777" w:rsidR="00AF2A24" w:rsidRPr="00F917AA" w:rsidRDefault="00AF2A24" w:rsidP="00AF2A24">
      <w:pPr>
        <w:pStyle w:val="Absatzberschrift"/>
      </w:pPr>
      <w:r>
        <w:t>Minore consumo di carburante</w:t>
      </w:r>
    </w:p>
    <w:p w14:paraId="1C477E89" w14:textId="77777777" w:rsidR="00AF2A24" w:rsidRDefault="00AF2A24" w:rsidP="00AF2A24">
      <w:pPr>
        <w:pStyle w:val="Standardabsatz"/>
      </w:pPr>
      <w:r>
        <w:t xml:space="preserve">Un ulteriore vantaggio è il consumo contenuto di carburante. "Il risparmio è già visibile dopo soli tre mesi", afferma Simone Schnittger, Direttrice di D+S Recycling GmbH. In questo periodo il consumo è stato in media di 22 l/h. Questi buoni valori sono dovuti alla grande efficienza del sistema di azionamento diesel-elettrico diretto. Trasmette la massima potenza direttamente al frantoio. Tutte le prese di forza – ad esempio per il prevaglio a due piani, il canale vibrante, i nastri trasportatori e l'unità di vagliatura secondaria – sono azionate elettricamente. </w:t>
      </w:r>
    </w:p>
    <w:p w14:paraId="7DCE15C6" w14:textId="4599DB1D" w:rsidR="00AF2A24" w:rsidRPr="00F917AA" w:rsidRDefault="00AF2A24" w:rsidP="00AF2A24">
      <w:pPr>
        <w:pStyle w:val="Absatzberschrift"/>
      </w:pPr>
      <w:r>
        <w:t>Nastro trasportatore su cingoli per una maggiore resa giornaliera</w:t>
      </w:r>
    </w:p>
    <w:p w14:paraId="66263C1F" w14:textId="77777777" w:rsidR="00AF2A24" w:rsidRDefault="00AF2A24" w:rsidP="00AF2A24">
      <w:pPr>
        <w:pStyle w:val="Standardabsatz"/>
      </w:pPr>
      <w:r>
        <w:t xml:space="preserve">Mentre il consumo di carburante è diminuito, in cantiere è aumentata la resa giornaliera. A ciò contribuisce anche il nastro trasportatore mobile, su cui il frantoio ad urto scarica i minerali da un'altezza di 3,60 m. Il nastro trasportatore su cingoli </w:t>
      </w:r>
      <w:r>
        <w:lastRenderedPageBreak/>
        <w:t>MOBIBELT MBT 24 è lungo 24 m e trasporta il materiale frantumato, con un'inclinazione massima di 23° a ca. 10,50 m di altezza. Ne risulta un volume massimo di 1.300 m³ per cumulo.</w:t>
      </w:r>
    </w:p>
    <w:p w14:paraId="63DD6061" w14:textId="77777777" w:rsidR="00AF2A24" w:rsidRPr="00F917AA" w:rsidRDefault="00AF2A24" w:rsidP="00AF2A24">
      <w:pPr>
        <w:pStyle w:val="Absatzberschrift"/>
      </w:pPr>
      <w:r>
        <w:t>Facile da manovrare grazie a SPECTIVE</w:t>
      </w:r>
    </w:p>
    <w:p w14:paraId="3EC75164" w14:textId="77777777" w:rsidR="00AF2A24" w:rsidRDefault="00AF2A24" w:rsidP="00AF2A24">
      <w:pPr>
        <w:pStyle w:val="Standardabsatz"/>
      </w:pPr>
      <w:r>
        <w:t>Il sistema di comando SPECTIVE semplifica notevolmente l'uso dell'impianto. Il lavoro è agevolato dal grande sportello di servizio e dalla facilità con cui si possono raggiungere i componenti.</w:t>
      </w:r>
    </w:p>
    <w:p w14:paraId="64ABBB85" w14:textId="024AAF51" w:rsidR="007C2FEE" w:rsidRPr="00BC1791" w:rsidRDefault="007C2FEE" w:rsidP="00BC487A">
      <w:pPr>
        <w:rPr>
          <w:b/>
          <w:bCs/>
          <w:sz w:val="22"/>
          <w:szCs w:val="22"/>
        </w:rPr>
      </w:pPr>
      <w:r>
        <w:rPr>
          <w:b/>
          <w:sz w:val="22"/>
        </w:rPr>
        <w:t>Foto:</w:t>
      </w:r>
    </w:p>
    <w:p w14:paraId="06345839" w14:textId="77777777" w:rsidR="00BC487A" w:rsidRPr="00BC1791" w:rsidRDefault="00BC487A" w:rsidP="00BC487A">
      <w:pPr>
        <w:rPr>
          <w:rFonts w:eastAsiaTheme="minorHAnsi" w:cstheme="minorBidi"/>
          <w:b/>
          <w:sz w:val="22"/>
          <w:szCs w:val="24"/>
        </w:rPr>
      </w:pPr>
    </w:p>
    <w:p w14:paraId="015EC9AD" w14:textId="42035D45" w:rsidR="00F724D5" w:rsidRPr="00BC1791" w:rsidRDefault="003A1E35" w:rsidP="00F724D5">
      <w:pPr>
        <w:pStyle w:val="BUbold"/>
      </w:pPr>
      <w:r>
        <w:rPr>
          <w:noProof/>
        </w:rPr>
        <w:drawing>
          <wp:inline distT="0" distB="0" distL="0" distR="0" wp14:anchorId="161E029A" wp14:editId="18567BF4">
            <wp:extent cx="2524125" cy="1682115"/>
            <wp:effectExtent l="0" t="0" r="9525" b="0"/>
            <wp:docPr id="14" name="Bild10"/>
            <wp:cNvGraphicFramePr/>
            <a:graphic xmlns:a="http://schemas.openxmlformats.org/drawingml/2006/main">
              <a:graphicData uri="http://schemas.openxmlformats.org/drawingml/2006/picture">
                <pic:pic xmlns:pic="http://schemas.openxmlformats.org/drawingml/2006/picture">
                  <pic:nvPicPr>
                    <pic:cNvPr id="14" name="Bild10"/>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24125" cy="1682115"/>
                    </a:xfrm>
                    <a:prstGeom prst="rect">
                      <a:avLst/>
                    </a:prstGeom>
                  </pic:spPr>
                </pic:pic>
              </a:graphicData>
            </a:graphic>
          </wp:inline>
        </w:drawing>
      </w:r>
      <w:bookmarkStart w:id="0" w:name="_GoBack"/>
      <w:bookmarkEnd w:id="0"/>
      <w:r w:rsidR="00F724D5">
        <w:br/>
        <w:t>KL_MR 130i EVO2_Recycling_DS</w:t>
      </w:r>
    </w:p>
    <w:p w14:paraId="0AA6E1D3" w14:textId="77777777" w:rsidR="00F724D5" w:rsidRDefault="00F724D5" w:rsidP="00FF5F5E">
      <w:pPr>
        <w:pStyle w:val="Fotos"/>
        <w:spacing w:after="0"/>
        <w:rPr>
          <w:b w:val="0"/>
          <w:sz w:val="20"/>
        </w:rPr>
      </w:pPr>
      <w:r>
        <w:rPr>
          <w:b w:val="0"/>
          <w:sz w:val="20"/>
        </w:rPr>
        <w:t>Il frantoio ad urto mobile MOBIREX MR 130i EVO2, in combinazione con un nastro trasportatore su cingoli Kleemann, assicura alte prestazioni e una migliore qualità del prodotto con bassi consumi.</w:t>
      </w:r>
    </w:p>
    <w:p w14:paraId="10AF8B22" w14:textId="77777777" w:rsidR="000D357E" w:rsidRPr="00F724D5" w:rsidRDefault="000D357E" w:rsidP="00FF5F5E">
      <w:pPr>
        <w:pStyle w:val="BUnormal"/>
      </w:pPr>
    </w:p>
    <w:p w14:paraId="6D829B46" w14:textId="77777777" w:rsidR="00F724D5" w:rsidRPr="00432AFE" w:rsidRDefault="00F724D5" w:rsidP="00F724D5">
      <w:pPr>
        <w:pStyle w:val="BUbold"/>
      </w:pPr>
      <w:r>
        <w:rPr>
          <w:noProof/>
        </w:rPr>
        <w:drawing>
          <wp:inline distT="0" distB="0" distL="0" distR="0" wp14:anchorId="5A5A4D7C" wp14:editId="555B65C9">
            <wp:extent cx="2556510" cy="1707515"/>
            <wp:effectExtent l="0" t="0" r="0" b="0"/>
            <wp:docPr id="15" name="Bil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9"/>
                    <pic:cNvPicPr>
                      <a:picLocks noChangeAspect="1" noChangeArrowheads="1"/>
                    </pic:cNvPicPr>
                  </pic:nvPicPr>
                  <pic:blipFill>
                    <a:blip r:embed="rId9"/>
                    <a:stretch>
                      <a:fillRect/>
                    </a:stretch>
                  </pic:blipFill>
                  <pic:spPr bwMode="auto">
                    <a:xfrm>
                      <a:off x="0" y="0"/>
                      <a:ext cx="2556510" cy="1707515"/>
                    </a:xfrm>
                    <a:prstGeom prst="rect">
                      <a:avLst/>
                    </a:prstGeom>
                  </pic:spPr>
                </pic:pic>
              </a:graphicData>
            </a:graphic>
          </wp:inline>
        </w:drawing>
      </w:r>
      <w:r>
        <w:br/>
        <w:t>KL_MR 130i EVO2_Recycling_DS_1</w:t>
      </w:r>
    </w:p>
    <w:p w14:paraId="43BC7053" w14:textId="0BA85F78" w:rsidR="00980313" w:rsidRPr="00F724D5" w:rsidRDefault="00F724D5" w:rsidP="00F724D5">
      <w:pPr>
        <w:widowControl w:val="0"/>
        <w:rPr>
          <w:sz w:val="20"/>
          <w:szCs w:val="20"/>
        </w:rPr>
      </w:pPr>
      <w:r>
        <w:rPr>
          <w:sz w:val="20"/>
        </w:rPr>
        <w:t>Dennis e Simone Schnittger sono molto soddisfatti del loro nuovo MOBIREX MR 130i EVO2. Con i loro tre impianti Kleemann possono far fronte alla crescente domanda di sabbia, pietrisco e materiale antigelo.</w:t>
      </w:r>
      <w:r>
        <w:t xml:space="preserve"> </w:t>
      </w:r>
      <w:r>
        <w:br/>
      </w:r>
    </w:p>
    <w:p w14:paraId="67E83AFA" w14:textId="583A1D15" w:rsidR="00980313" w:rsidRDefault="00714D6B" w:rsidP="00A96B2E">
      <w:pPr>
        <w:pStyle w:val="Note"/>
        <w:rPr>
          <w:lang w:eastAsia="de-DE"/>
        </w:rPr>
      </w:pPr>
      <w:r>
        <w:t>Nota: Queste foto sono un'anteprima. Per la stampa nelle pubblicazioni, si prega di utilizzare le foto in risoluzione 300 dpi, che sono disponibili nel download allegato.</w:t>
      </w:r>
    </w:p>
    <w:p w14:paraId="487A9595" w14:textId="21C93EA3" w:rsidR="00F724D5" w:rsidRDefault="00F724D5" w:rsidP="00F724D5">
      <w:pPr>
        <w:pStyle w:val="Standardabsatz"/>
        <w:rPr>
          <w:lang w:eastAsia="de-DE"/>
        </w:rPr>
      </w:pPr>
    </w:p>
    <w:p w14:paraId="4074ADF5" w14:textId="704CA3CC" w:rsidR="00F724D5" w:rsidRDefault="00F724D5" w:rsidP="00F724D5">
      <w:pPr>
        <w:pStyle w:val="Standardabsatz"/>
        <w:rPr>
          <w:lang w:eastAsia="de-DE"/>
        </w:rPr>
      </w:pPr>
    </w:p>
    <w:p w14:paraId="4734B18F" w14:textId="77777777" w:rsidR="00A31472" w:rsidRDefault="00A31472" w:rsidP="00F724D5">
      <w:pPr>
        <w:pStyle w:val="Standardabsatz"/>
        <w:rPr>
          <w:lang w:eastAsia="de-DE"/>
        </w:rPr>
      </w:pPr>
    </w:p>
    <w:p w14:paraId="717825D0" w14:textId="4B1B0DAB" w:rsidR="00B409DF" w:rsidRDefault="00B409DF" w:rsidP="00B409DF">
      <w:pPr>
        <w:pStyle w:val="Absatzberschrift"/>
        <w:rPr>
          <w:iCs/>
        </w:rPr>
      </w:pPr>
      <w:r>
        <w:lastRenderedPageBreak/>
        <w:t>Per maggiori informazioni contattare:</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Germania</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Telefono: +49 (0) 2645 131 – 1966 </w:t>
      </w:r>
    </w:p>
    <w:p w14:paraId="72EBA31D" w14:textId="77777777" w:rsidR="00B409DF" w:rsidRDefault="00B409DF" w:rsidP="00B409DF">
      <w:pPr>
        <w:pStyle w:val="Fuzeile1"/>
      </w:pPr>
      <w:r>
        <w:t>Telefax: +49 (0) 2645 131 – 499</w:t>
      </w:r>
    </w:p>
    <w:p w14:paraId="54DD8925" w14:textId="4CADBFA8" w:rsidR="00B409DF" w:rsidRDefault="00B409DF" w:rsidP="00B409DF">
      <w:pPr>
        <w:pStyle w:val="Fuzeile1"/>
      </w:pPr>
      <w:r>
        <w:t>E-mail: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718F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6FD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CD1E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1E3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791"/>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C169A"/>
    <w:rsid w:val="00FD1E6F"/>
    <w:rsid w:val="00FD3768"/>
    <w:rsid w:val="00FD51E9"/>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it-IT"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it-IT"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C08D5AB-8708-4F59-99AB-9B6C30EFA36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587</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4282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8</cp:revision>
  <cp:lastPrinted>2021-10-20T14:00:00Z</cp:lastPrinted>
  <dcterms:created xsi:type="dcterms:W3CDTF">2022-03-30T10:32:00Z</dcterms:created>
  <dcterms:modified xsi:type="dcterms:W3CDTF">2022-05-18T13:39:00Z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